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558F0">
      <w:pPr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附件2：</w:t>
      </w:r>
    </w:p>
    <w:p w14:paraId="37A42347">
      <w:pPr>
        <w:ind w:firstLine="640" w:firstLineChars="20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高教主赛道方案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、‘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青年红色筑梦之旅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’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赛道安排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职教赛道方案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产业赛道方案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”</w:t>
      </w:r>
    </w:p>
    <w:p w14:paraId="56032D76">
      <w:pPr>
        <w:ind w:firstLine="640" w:firstLineChars="20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1.中国国际大学生创新大赛(2025)高教主赛道方案 （见附件1）</w:t>
      </w:r>
    </w:p>
    <w:p w14:paraId="11568DBC">
      <w:pPr>
        <w:ind w:firstLine="640" w:firstLineChars="20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2.中国国际大学生创新大赛(2025)“青年红色筑梦 之旅”</w:t>
      </w: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t>赛道安排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（见附件1）</w:t>
      </w:r>
    </w:p>
    <w:p w14:paraId="32232FEE">
      <w:pPr>
        <w:ind w:firstLine="640" w:firstLineChars="20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3.中国国际大学生创新大赛(2025)职教赛道方案   （见附件1）</w:t>
      </w:r>
    </w:p>
    <w:p w14:paraId="408C3C6F">
      <w:pPr>
        <w:ind w:firstLine="640" w:firstLineChars="20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4.中国国际大学生创新大赛(2025)产业赛道方案   （见附件1）</w:t>
      </w:r>
    </w:p>
    <w:p w14:paraId="566307AE">
      <w:pPr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3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2025-05-09T06:22:12Z</dcterms:created>
  <dc:creator>Administrator</dc:creator>
  <cp:lastModifiedBy>周锐</cp:lastModifiedBy>
  <dcterms:modified xsi:type="dcterms:W3CDTF">2025-05-09T06:31:23Z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eyJoZGlkIjoiY2IwYzQwMTcyYTg5MGFkNWRkNmEwZjgwZTQ4NmI4NmEiLCJ1c2VySWQiOiIyNDYwOTM2NzYifQ==</vt:lpwstr>
  </property>
  <property fmtid="{D5CDD505-2E9C-101B-9397-08002B2CF9AE}" pid="4" name="ICV">
    <vt:lpwstr>BE70F360E42542E8AE286657CE20B88D_12</vt:lpwstr>
  </property>
</Properties>
</file>